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DF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highlight w:val="none"/>
          <w:u w:val="none"/>
        </w:rPr>
      </w:pPr>
      <w:bookmarkStart w:id="0" w:name="_Toc1633"/>
      <w:r>
        <w:rPr>
          <w:rFonts w:hint="eastAsia" w:ascii="宋体" w:hAnsi="宋体" w:cs="宋体"/>
          <w:b w:val="0"/>
          <w:bCs/>
          <w:color w:val="auto"/>
          <w:highlight w:val="none"/>
          <w:u w:val="none"/>
          <w:lang w:val="en-US" w:eastAsia="zh-CN"/>
        </w:rPr>
        <w:t>一</w:t>
      </w:r>
      <w:r>
        <w:rPr>
          <w:rFonts w:hint="eastAsia" w:ascii="宋体" w:hAnsi="宋体" w:eastAsia="宋体" w:cs="宋体"/>
          <w:b w:val="0"/>
          <w:bCs/>
          <w:color w:val="auto"/>
          <w:highlight w:val="none"/>
          <w:u w:val="none"/>
        </w:rPr>
        <w:t>、</w:t>
      </w:r>
      <w:r>
        <w:rPr>
          <w:rFonts w:hint="eastAsia" w:ascii="宋体" w:hAnsi="宋体" w:cs="宋体"/>
          <w:b w:val="0"/>
          <w:bCs/>
          <w:color w:val="auto"/>
          <w:highlight w:val="none"/>
          <w:u w:val="none"/>
          <w:lang w:val="en-US" w:eastAsia="zh-CN"/>
        </w:rPr>
        <w:t>采购</w:t>
      </w:r>
      <w:r>
        <w:rPr>
          <w:rFonts w:hint="eastAsia" w:ascii="宋体" w:hAnsi="宋体" w:eastAsia="宋体" w:cs="宋体"/>
          <w:b w:val="0"/>
          <w:bCs/>
          <w:color w:val="auto"/>
          <w:highlight w:val="none"/>
          <w:u w:val="none"/>
          <w:lang w:val="en-US" w:eastAsia="zh-CN"/>
        </w:rPr>
        <w:t>清单</w:t>
      </w:r>
      <w:r>
        <w:rPr>
          <w:rFonts w:hint="eastAsia" w:ascii="宋体" w:hAnsi="宋体" w:cs="宋体"/>
          <w:b w:val="0"/>
          <w:bCs/>
          <w:color w:val="auto"/>
          <w:highlight w:val="none"/>
          <w:u w:val="none"/>
          <w:lang w:val="en-US" w:eastAsia="zh-CN"/>
        </w:rPr>
        <w:t>：</w:t>
      </w:r>
      <w:bookmarkStart w:id="2" w:name="_GoBack"/>
      <w:bookmarkEnd w:id="2"/>
    </w:p>
    <w:tbl>
      <w:tblPr>
        <w:tblStyle w:val="3"/>
        <w:tblW w:w="96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83"/>
        <w:gridCol w:w="2631"/>
        <w:gridCol w:w="1053"/>
        <w:gridCol w:w="867"/>
        <w:gridCol w:w="4304"/>
      </w:tblGrid>
      <w:tr w14:paraId="5D86C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1" w:hRule="atLeast"/>
          <w:jc w:val="center"/>
        </w:trPr>
        <w:tc>
          <w:tcPr>
            <w:tcW w:w="6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BF15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22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A5716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采购内容</w:t>
            </w:r>
          </w:p>
        </w:tc>
        <w:tc>
          <w:tcPr>
            <w:tcW w:w="9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95F6C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74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4DBD3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单位</w:t>
            </w:r>
          </w:p>
        </w:tc>
        <w:tc>
          <w:tcPr>
            <w:tcW w:w="368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9A57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 w14:paraId="69D28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6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4296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2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12A163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双层床（含蚊帐架、床板）</w:t>
            </w:r>
          </w:p>
        </w:tc>
        <w:tc>
          <w:tcPr>
            <w:tcW w:w="9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BCD1B8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336</w:t>
            </w:r>
          </w:p>
        </w:tc>
        <w:tc>
          <w:tcPr>
            <w:tcW w:w="74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24415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368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EABF13E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南校区4栋6间、6栋14间、交流中心34间、12栋1间；北校区B栋12间、8栋17间，每间配4套</w:t>
            </w:r>
          </w:p>
        </w:tc>
      </w:tr>
      <w:tr w14:paraId="1298D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57" w:hRule="atLeast"/>
          <w:jc w:val="center"/>
        </w:trPr>
        <w:tc>
          <w:tcPr>
            <w:tcW w:w="6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2365C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2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CEE741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行李架</w:t>
            </w:r>
          </w:p>
        </w:tc>
        <w:tc>
          <w:tcPr>
            <w:tcW w:w="9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B7B7D9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858</w:t>
            </w:r>
          </w:p>
        </w:tc>
        <w:tc>
          <w:tcPr>
            <w:tcW w:w="74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705AA4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  <w:tc>
          <w:tcPr>
            <w:tcW w:w="368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97B58A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南校区一级378间、交流中心34间、4、6栋15间，每间2个，备用4个</w:t>
            </w:r>
          </w:p>
        </w:tc>
      </w:tr>
      <w:tr w14:paraId="091C0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57" w:hRule="atLeast"/>
          <w:jc w:val="center"/>
        </w:trPr>
        <w:tc>
          <w:tcPr>
            <w:tcW w:w="6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A296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2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4A84DC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课桌</w:t>
            </w:r>
          </w:p>
        </w:tc>
        <w:tc>
          <w:tcPr>
            <w:tcW w:w="9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5FD643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1844</w:t>
            </w:r>
          </w:p>
        </w:tc>
        <w:tc>
          <w:tcPr>
            <w:tcW w:w="74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B8075D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张</w:t>
            </w:r>
          </w:p>
        </w:tc>
        <w:tc>
          <w:tcPr>
            <w:tcW w:w="368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DE126CD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南校区378间、交流中心34间、4、6栋20间；北校区8栋17间、B栋12间。共461间，4张/间</w:t>
            </w:r>
          </w:p>
        </w:tc>
      </w:tr>
      <w:tr w14:paraId="5371E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57" w:hRule="atLeast"/>
          <w:jc w:val="center"/>
        </w:trPr>
        <w:tc>
          <w:tcPr>
            <w:tcW w:w="6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36D6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2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F6026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课椅</w:t>
            </w:r>
          </w:p>
        </w:tc>
        <w:tc>
          <w:tcPr>
            <w:tcW w:w="9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E83F1A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316</w:t>
            </w:r>
          </w:p>
        </w:tc>
        <w:tc>
          <w:tcPr>
            <w:tcW w:w="74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625BF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张</w:t>
            </w:r>
          </w:p>
        </w:tc>
        <w:tc>
          <w:tcPr>
            <w:tcW w:w="368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C7367EB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南校区交流中心34间、4、6栋20间；北校区B栋20间、8栋5间。共79间，4张/间</w:t>
            </w:r>
          </w:p>
        </w:tc>
      </w:tr>
    </w:tbl>
    <w:p w14:paraId="7A6F3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80" w:lineRule="exact"/>
        <w:ind w:left="0" w:leftChars="0" w:right="0" w:rightChars="0" w:firstLine="0" w:firstLineChars="0"/>
        <w:jc w:val="both"/>
        <w:textAlignment w:val="auto"/>
        <w:outlineLvl w:val="1"/>
        <w:rPr>
          <w:rFonts w:hint="eastAsia" w:ascii="宋体" w:hAnsi="宋体" w:cs="宋体"/>
          <w:b/>
          <w:color w:val="auto"/>
          <w:highlight w:val="none"/>
          <w:u w:val="none"/>
        </w:rPr>
      </w:pPr>
      <w:r>
        <w:rPr>
          <w:rFonts w:hint="eastAsia" w:ascii="宋体" w:hAnsi="宋体" w:cs="宋体"/>
          <w:b/>
          <w:bCs/>
          <w:color w:val="auto"/>
          <w:szCs w:val="21"/>
          <w:highlight w:val="none"/>
          <w:u w:val="none"/>
          <w:lang w:val="zh-CN"/>
        </w:rPr>
        <w:t>二、</w:t>
      </w:r>
      <w:bookmarkEnd w:id="0"/>
      <w:bookmarkStart w:id="1" w:name="_Toc22038"/>
      <w:r>
        <w:rPr>
          <w:rFonts w:hint="eastAsia" w:ascii="宋体" w:hAnsi="宋体" w:cs="宋体"/>
          <w:b/>
          <w:color w:val="auto"/>
          <w:highlight w:val="none"/>
          <w:u w:val="none"/>
        </w:rPr>
        <w:t>技术参数</w:t>
      </w:r>
      <w:r>
        <w:rPr>
          <w:rFonts w:hint="eastAsia" w:ascii="宋体" w:hAnsi="宋体" w:cs="宋体"/>
          <w:b/>
          <w:color w:val="auto"/>
          <w:highlight w:val="none"/>
          <w:u w:val="none"/>
          <w:lang w:val="en-US" w:eastAsia="zh-CN"/>
        </w:rPr>
        <w:t>及配置清单</w:t>
      </w:r>
      <w:r>
        <w:rPr>
          <w:rFonts w:hint="eastAsia" w:ascii="宋体" w:hAnsi="宋体" w:cs="宋体"/>
          <w:b/>
          <w:color w:val="auto"/>
          <w:highlight w:val="none"/>
          <w:u w:val="none"/>
        </w:rPr>
        <w:t>要求</w:t>
      </w:r>
    </w:p>
    <w:p w14:paraId="09288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color w:val="auto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color w:val="auto"/>
          <w:highlight w:val="none"/>
          <w:u w:val="none"/>
          <w:lang w:val="en-US" w:eastAsia="zh-CN"/>
        </w:rPr>
        <w:t>（一）具体</w:t>
      </w:r>
      <w:r>
        <w:rPr>
          <w:rFonts w:hint="eastAsia" w:ascii="宋体" w:hAnsi="宋体" w:cs="宋体"/>
          <w:b w:val="0"/>
          <w:bCs/>
          <w:color w:val="auto"/>
          <w:highlight w:val="none"/>
          <w:u w:val="none"/>
        </w:rPr>
        <w:t>技术参数</w:t>
      </w:r>
      <w:r>
        <w:rPr>
          <w:rFonts w:hint="eastAsia" w:ascii="宋体" w:hAnsi="宋体" w:cs="宋体"/>
          <w:b w:val="0"/>
          <w:bCs/>
          <w:color w:val="auto"/>
          <w:highlight w:val="none"/>
          <w:u w:val="none"/>
          <w:lang w:val="en-US" w:eastAsia="zh-CN"/>
        </w:rPr>
        <w:t>及工艺</w:t>
      </w:r>
      <w:r>
        <w:rPr>
          <w:rFonts w:hint="eastAsia" w:ascii="宋体" w:hAnsi="宋体" w:cs="宋体"/>
          <w:b w:val="0"/>
          <w:bCs/>
          <w:color w:val="auto"/>
          <w:highlight w:val="none"/>
          <w:u w:val="none"/>
        </w:rPr>
        <w:t>要求</w:t>
      </w:r>
    </w:p>
    <w:bookmarkEnd w:id="1"/>
    <w:tbl>
      <w:tblPr>
        <w:tblStyle w:val="4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545"/>
        <w:gridCol w:w="545"/>
        <w:gridCol w:w="8035"/>
      </w:tblGrid>
      <w:tr w14:paraId="74EFA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7" w:type="dxa"/>
            <w:vAlign w:val="center"/>
          </w:tcPr>
          <w:p w14:paraId="1B25F1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34" w:type="dxa"/>
            <w:gridSpan w:val="2"/>
            <w:vAlign w:val="center"/>
          </w:tcPr>
          <w:p w14:paraId="2EF8CD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7624" w:type="dxa"/>
            <w:vAlign w:val="center"/>
          </w:tcPr>
          <w:p w14:paraId="208409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bidi="ar"/>
              </w:rPr>
              <w:t>技术参数</w:t>
            </w:r>
          </w:p>
        </w:tc>
      </w:tr>
      <w:tr w14:paraId="68CD8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487" w:type="dxa"/>
            <w:vMerge w:val="restart"/>
            <w:vAlign w:val="center"/>
          </w:tcPr>
          <w:p w14:paraId="5AD3B2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17" w:type="dxa"/>
            <w:vMerge w:val="restart"/>
            <w:vAlign w:val="center"/>
          </w:tcPr>
          <w:p w14:paraId="195456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双层床</w:t>
            </w:r>
          </w:p>
        </w:tc>
        <w:tc>
          <w:tcPr>
            <w:tcW w:w="517" w:type="dxa"/>
            <w:vAlign w:val="center"/>
          </w:tcPr>
          <w:p w14:paraId="62386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床架</w:t>
            </w:r>
          </w:p>
        </w:tc>
        <w:tc>
          <w:tcPr>
            <w:tcW w:w="7624" w:type="dxa"/>
            <w:vAlign w:val="center"/>
          </w:tcPr>
          <w:p w14:paraId="10BB33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双层床规格：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>长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"/>
              </w:rPr>
              <w:t>2000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宽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"/>
              </w:rPr>
              <w:t>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"/>
              </w:rPr>
              <w:t>1800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</w:p>
          <w:p w14:paraId="0611B8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二、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双层床技术参数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要求</w:t>
            </w:r>
          </w:p>
          <w:p w14:paraId="45197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立柱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冷轧钢型材，截面尺寸为不小于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80mm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异形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闭口管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壁厚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1.2mm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成型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后应为闭口型材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，正面有两条加强筋，以保证足够的抗折弯力；立柱正面为圆弧形，与横梁连接面的宽度≥29mm；</w:t>
            </w:r>
          </w:p>
          <w:p w14:paraId="5E1F4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长横梁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冷轧钢型材，截面尺寸为不小于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100mm*4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异形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闭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口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壁厚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1.2mm；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成型后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应为闭口型材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，正面有两条加强筋，横梁底部为弧形，横梁上沿宽度≥29mm；横梁内直角设计用于承载床板及床板支撑梁，整体承载力更均匀；管型为封闭管型。用承载床板支撑梁，横梁放床位和支撑梁持平。</w:t>
            </w:r>
          </w:p>
          <w:p w14:paraId="42BE8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3、短横梁：（1）短横梁采用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冷轧钢型材，截面尺寸为不小于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58mm*22mm"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异型闭口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壁厚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1.0mm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，“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型管的短横梁由成型机一体成型，左右各两条加强筋。</w:t>
            </w:r>
          </w:p>
          <w:p w14:paraId="5AE36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4、床板支撑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横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冷轧钢型材，截面尺寸为不小于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28*40"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异型闭口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壁厚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1.0mm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，床板支撑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横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由成型机成型，5个面组成 左右各两条加强筋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床板支撑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横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与床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长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横梁之间采用从上往下内卡扣式的连接方式，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成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倒三角型 。</w:t>
            </w:r>
          </w:p>
          <w:p w14:paraId="5C03F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5、床边护栏采用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截面不小于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20mm*30mm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异型管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弯制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,壁厚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1.0mm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，护栏高度≥300mm；</w:t>
            </w:r>
          </w:p>
          <w:p w14:paraId="1CAEA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6、床头护栏上下横管采用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截面不小于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20*30mm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,壁厚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1.0mm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闭口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管，竖管采用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截面不小于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30mm*15mm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,壁厚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1.0mm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亘形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，竖管不少于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4根。</w:t>
            </w:r>
          </w:p>
          <w:p w14:paraId="33783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 w:bidi="ar-SA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7、床梯直梯采用冷轧钢型材，截面尺寸为不小于20mm*43mm,壁厚≥1.2mm异型闭口管；</w:t>
            </w: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楼梯铁板采用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≥300mm*70mm，壁厚≥2.0mm</w:t>
            </w: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，冷轧钢板制与边管整体焊接成型，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踏板前沿圆弧处理，每块踏板下面须焊接≥20mm*20mm加强管，管两端与楼梯支架插入连接后焊接处理；</w:t>
            </w: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踩面正前方设计防滑凸点。</w:t>
            </w:r>
          </w:p>
          <w:p w14:paraId="140CF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8、横梁连接件：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长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横梁与立柱之间连接采用四片内嵌卡扣式连接件，加强横梁与立柱之间的结构稳定性，连接件材料采用≥2.0mm厚冷轧钢板一体成型；卡扣式连接件规格为≥280mm*29mm*29mm；</w:t>
            </w:r>
          </w:p>
          <w:p w14:paraId="52C1D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9、胶套：尺寸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匹配立柱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尺寸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，高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≥110mm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"/>
              </w:rPr>
              <w:t>立柱上端及下端均采用塑料套（塞），形状与立柱完全吻合，起到防潮的作用。</w:t>
            </w:r>
          </w:p>
          <w:p w14:paraId="4BB34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br w:type="pag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三、技术工艺要求：</w:t>
            </w:r>
          </w:p>
          <w:p w14:paraId="3435F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立柱、横梁、下短横梁均采用中空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异型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闭口管，不能使用开口管，闭口管着力更大。主要部件符合 GB/T 3325-20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《金属家具通用技术条件》GB/T 1741-2020《漆膜耐霉菌性测定法》QB/T 3832-1999《轻工产品金属镀层腐蚀试验结果的评价》QB/T 3826-1999《轻工产品金属镀层和化学处理层的耐腐蚀试验方法 中性盐雾试验NSS)法》GB/T 10125-2021《人造气氛腐蚀试验盐雾试验》检测标准，金属表面涂层理化性能（耐湿热、冲击强度、耐腐蚀性、漆膜附着力）、可溶性重金属（铅、汞、镉、铬）均符合要求。</w:t>
            </w:r>
          </w:p>
          <w:p w14:paraId="5B7C8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材质为冷轧钢材：管材无裂缝，管材表面无毛刺、结疤、错位、压痕或划痕。</w:t>
            </w:r>
          </w:p>
          <w:p w14:paraId="65D86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焊接要求：采用二氧化碳气体保护焊，焊点应满焊、均匀、牢固、平整，无漏焊、假焊、裂纹、烧穿、毛刺、表面气孔、夹渣、焊疤堆积等缺陷，焊接后打磨平、除刺及抛光；焊接部位不能有错位、脱焊、虚焊、焊穿缺陷，焊疤表面不能有夹渣、气孔、焊瘤、咬边、飞溅现象；组合铁架床整体稳定性好，工艺符合国家标准；所有主结构焊接部位必须为满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497F9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表面处理：钢材表面需去污、酸洗、磷化、烘干、喷涂等工序并采用环保粉末，经防静电喷涂处理。床架漆面不含甲醛，对人体及周边环境不产生危害，无毒、无副作用、使用时无异味。</w:t>
            </w:r>
          </w:p>
          <w:p w14:paraId="14AFA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表面除锈镀层要求：涂饰前零部件的表面应光滑、平整，不得有开裂、脱焊、漏焊、焊渣或飞边、尖角、毛刺等可能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造成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机械伤害的缺陷。表面必须经过 “除油—水洗—除锈—清洗—中和—磷化—水洗—烘干”八工位处理，预备处理后表面无氧化皮、锈蚀、粘砂等其他杂质。</w:t>
            </w:r>
          </w:p>
          <w:p w14:paraId="749F4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喷塑要求：采用环保产品环氧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聚酯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塑粉，经纳米磷化后静电喷塑，喷塑外膜的表面光滑平整，经酸洗除油除锈，色泽均匀，喷塑层无漏喷、起泡、模糊、划痕或碰伤等缺陷。符合 HG/T 2006-20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《热固性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和热塑性粉末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涂料》标准检测，冲击强度、附着力、耐腐蚀等均符合要求。</w:t>
            </w:r>
          </w:p>
          <w:p w14:paraId="57557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其他要求：除产品技术需求的卡扣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连接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方式外，其余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连接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有使用到螺栓、螺帽的地方均考虑边角圆滑问题，或在板材上使用沉头设计，或使用其他保护配件等，防止刮伤。</w:t>
            </w:r>
          </w:p>
        </w:tc>
      </w:tr>
      <w:tr w14:paraId="78933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atLeast"/>
          <w:jc w:val="center"/>
        </w:trPr>
        <w:tc>
          <w:tcPr>
            <w:tcW w:w="487" w:type="dxa"/>
            <w:vMerge w:val="continue"/>
            <w:vAlign w:val="center"/>
          </w:tcPr>
          <w:p w14:paraId="5B3109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17" w:type="dxa"/>
            <w:vMerge w:val="continue"/>
            <w:vAlign w:val="center"/>
          </w:tcPr>
          <w:p w14:paraId="4C4F1D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17" w:type="dxa"/>
            <w:vAlign w:val="center"/>
          </w:tcPr>
          <w:p w14:paraId="2192D5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床板</w:t>
            </w:r>
          </w:p>
        </w:tc>
        <w:tc>
          <w:tcPr>
            <w:tcW w:w="7624" w:type="dxa"/>
            <w:vAlign w:val="center"/>
          </w:tcPr>
          <w:p w14:paraId="79D042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床板规格：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长1950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宽850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厚≥18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（床板尺寸以床架内空定制）</w:t>
            </w:r>
          </w:p>
          <w:p w14:paraId="0B4B8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床板技术参数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要求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</w:p>
          <w:p w14:paraId="6ED1E5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采用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≥1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杉木原木制作，排骨架结构，铁钉穿透木板，然后钉尖反扣固定成整块不分散，床板间隙 ≤4mm。整块床板不能超过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块小板合成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29D259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杉木板用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根≥20mm*30mm杉木方支托，床板需进行刨光处理，四面光滑，无毛刺、刃口、棱角，木材无明显缺边料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055DE0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3、床板经杀虫、烘干、防腐、防霉、边沿垂直、表面平整。不留有树皮、腐斑、虫蛀孔和裂缝，床板与床横梁面应持平。</w:t>
            </w:r>
          </w:p>
        </w:tc>
      </w:tr>
      <w:tr w14:paraId="31F1F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7" w:type="dxa"/>
            <w:vAlign w:val="center"/>
          </w:tcPr>
          <w:p w14:paraId="0DB247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517" w:type="dxa"/>
            <w:vAlign w:val="center"/>
          </w:tcPr>
          <w:p w14:paraId="3F3A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行李架</w:t>
            </w:r>
          </w:p>
        </w:tc>
        <w:tc>
          <w:tcPr>
            <w:tcW w:w="517" w:type="dxa"/>
            <w:vAlign w:val="center"/>
          </w:tcPr>
          <w:p w14:paraId="20A7C2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24" w:type="dxa"/>
            <w:vAlign w:val="center"/>
          </w:tcPr>
          <w:p w14:paraId="3D4223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一、行李架规格：长1000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宽600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高1800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1F7C54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二、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行李架技术参数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要求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</w:p>
          <w:p w14:paraId="7B6C36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1、行李架分4层、每层高度可调节。</w:t>
            </w:r>
          </w:p>
          <w:p w14:paraId="0BEC4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、立柱采用40mm*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1.2厚mm喷涂钢管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4031C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 w:bidi="ar-SA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3、每层支撑部分两侧采用20mm*30mm*≥1.2厚mm喷涂钢管，中间支撑处管材为25mm*≥1.2厚mm，中间支撑管不少于4根。</w:t>
            </w:r>
          </w:p>
          <w:p w14:paraId="2371C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 w:bidi="ar-SA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4、表面除锈镀层要求：表面需去污、酸洗、磷化、烘干、喷涂等工序并采用环保粉末，经防静电喷涂处理。漆面不含甲醛，无毒、无副作用、使用时无异味；</w:t>
            </w:r>
          </w:p>
          <w:p w14:paraId="262538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、喷塑要求：采用环保产品环氧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聚酯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塑粉，经纳米磷化后静电喷塑，喷塑外膜的表面光滑平整，经酸洗除油除锈轮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化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，色泽均匀，喷塑层无漏喷、起泡、模糊、划痕或碰伤等缺陷。符合 HG/T 2006-2006《热固性粉末涂料》标准检测，冲击强度、附着力、耐腐蚀等均符合要求。</w:t>
            </w:r>
          </w:p>
        </w:tc>
      </w:tr>
      <w:tr w14:paraId="4F0BA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487" w:type="dxa"/>
            <w:vAlign w:val="center"/>
          </w:tcPr>
          <w:p w14:paraId="034554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517" w:type="dxa"/>
            <w:vAlign w:val="center"/>
          </w:tcPr>
          <w:p w14:paraId="797FED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课桌椅</w:t>
            </w:r>
          </w:p>
        </w:tc>
        <w:tc>
          <w:tcPr>
            <w:tcW w:w="517" w:type="dxa"/>
            <w:vAlign w:val="center"/>
          </w:tcPr>
          <w:p w14:paraId="5A9047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624" w:type="dxa"/>
            <w:vAlign w:val="center"/>
          </w:tcPr>
          <w:p w14:paraId="351CC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课桌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：长、宽、高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00mm×400mm×7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0mm，</w:t>
            </w:r>
          </w:p>
          <w:p w14:paraId="4609B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二、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课椅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：长、宽、高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450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mm×7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0 mm</w:t>
            </w:r>
          </w:p>
          <w:p w14:paraId="674DB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三、课桌椅技术参数要求：</w:t>
            </w:r>
          </w:p>
          <w:p w14:paraId="5A007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课桌支架采用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≥30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mm×1.2mm冷轧钢管，桌斗采用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0.8mm厚冷轧钢板冲压成型，面板采用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18mm厚E1级环保实心夹板面压防火板，颜色为定制榉木色；</w:t>
            </w:r>
          </w:p>
          <w:p w14:paraId="29281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课桌面为平面固定式，桌侧方（两面）设挂钩，钩端不超出桌侧缘之外；</w:t>
            </w:r>
          </w:p>
          <w:p w14:paraId="6FB88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课椅支架采用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≥30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mm×1.2mm冷轧钢管，座面板及靠背板采用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12mm厚E1级环保实心夹板面压防火板，颜色为定制榉木色；</w:t>
            </w:r>
          </w:p>
          <w:p w14:paraId="5C0FD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工艺要求：所有边角都倒圆角处理，防碰伤；课桌、椅金属铁管要采用内外酸洗磷化并用高温热固性粉末静电喷涂处理，防火板要经热处理。课桌、椅外观要求焊接平滑，无漏焊、虚焊，表面无毛剌、喷塑均匀，且没有波纹、龟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针孔、汽泡、斑痕、凹凸等缺陷；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桌椅的金属支架符合GB/T3325-2024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《金属家具通用技术条件》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桌椅的人造板材甲醛释放量要符合GB18580-2025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室内装饰装修材料人造板及其制品中甲醛释放限量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产品符合QB/T 4071-20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《课桌椅》标准。</w:t>
            </w:r>
          </w:p>
        </w:tc>
      </w:tr>
    </w:tbl>
    <w:p w14:paraId="24F004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25F5DD"/>
    <w:multiLevelType w:val="singleLevel"/>
    <w:tmpl w:val="E825F5D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3442F"/>
    <w:rsid w:val="12312729"/>
    <w:rsid w:val="16310714"/>
    <w:rsid w:val="1B9B747E"/>
    <w:rsid w:val="2315379C"/>
    <w:rsid w:val="295825D7"/>
    <w:rsid w:val="3A005921"/>
    <w:rsid w:val="41D16B8A"/>
    <w:rsid w:val="4E777745"/>
    <w:rsid w:val="5B694651"/>
    <w:rsid w:val="5BB34C85"/>
    <w:rsid w:val="6365692C"/>
    <w:rsid w:val="68D11300"/>
    <w:rsid w:val="72315B3F"/>
    <w:rsid w:val="77FC3395"/>
    <w:rsid w:val="7DE040C1"/>
    <w:rsid w:val="7E10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ind w:firstLine="880" w:firstLineChars="2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</w:style>
  <w:style w:type="table" w:styleId="4">
    <w:name w:val="Table Grid"/>
    <w:basedOn w:val="3"/>
    <w:unhideWhenUsed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6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2026-06-03T09:31:00Z</dcterms:created>
  <dc:creator>klh</dc:creator>
  <cp:lastModifiedBy>1</cp:lastModifiedBy>
  <dcterms:modified xsi:type="dcterms:W3CDTF">2026-07-20T03:07:37Z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8182586F1F1B48CFA0452F8E32FF3AF0_12</vt:lpwstr>
  </property>
  <property fmtid="{D5CDD505-2E9C-101B-9397-08002B2CF9AE}" pid="4" name="KSOTemplateDocerSaveRecord">
    <vt:lpwstr>eyJoZGlkIjoiOTMxOTc5YTAzYTBkZDM4NGIyOWY4OWIxMmQ0Yjg5MmUiLCJ1c2VySWQiOiI0MTYyNjkzNTIifQ==</vt:lpwstr>
  </property>
</Properties>
</file>